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091423" w14:paraId="0DE6ABB5" w14:textId="77777777" w:rsidTr="00E806A1">
        <w:tc>
          <w:tcPr>
            <w:tcW w:w="12456" w:type="dxa"/>
          </w:tcPr>
          <w:p w14:paraId="7120AF01" w14:textId="160EF7BA" w:rsidR="00091423" w:rsidRDefault="00D1638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4261FA" wp14:editId="28B591A2">
                  <wp:extent cx="7772400" cy="13776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-HTML banner-v1-09211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3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5F96C" w14:textId="77777777" w:rsidR="00AD1BA2" w:rsidRDefault="00AD1BA2"/>
    <w:tbl>
      <w:tblPr>
        <w:tblStyle w:val="TableGrid"/>
        <w:tblW w:w="954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4"/>
        <w:gridCol w:w="2246"/>
      </w:tblGrid>
      <w:tr w:rsidR="00091423" w14:paraId="159201B4" w14:textId="77777777" w:rsidTr="00F832A0">
        <w:tc>
          <w:tcPr>
            <w:tcW w:w="9540" w:type="dxa"/>
            <w:gridSpan w:val="2"/>
          </w:tcPr>
          <w:p w14:paraId="2E4E86B1" w14:textId="503F79F0" w:rsidR="00091423" w:rsidRPr="00E47D74" w:rsidRDefault="00E63B16" w:rsidP="00462E14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How to Enroll </w:t>
            </w:r>
            <w:r w:rsidR="00A34FFF">
              <w:rPr>
                <w:sz w:val="56"/>
                <w:szCs w:val="56"/>
              </w:rPr>
              <w:t xml:space="preserve">in the State Health Plan </w:t>
            </w:r>
            <w:r>
              <w:rPr>
                <w:sz w:val="56"/>
                <w:szCs w:val="56"/>
              </w:rPr>
              <w:t xml:space="preserve">and </w:t>
            </w:r>
            <w:r w:rsidR="00462E14">
              <w:rPr>
                <w:sz w:val="56"/>
                <w:szCs w:val="56"/>
              </w:rPr>
              <w:t xml:space="preserve">Receive Your Wellness </w:t>
            </w:r>
            <w:r w:rsidR="006D0171">
              <w:rPr>
                <w:sz w:val="56"/>
                <w:szCs w:val="56"/>
              </w:rPr>
              <w:t xml:space="preserve">Premium </w:t>
            </w:r>
            <w:r w:rsidR="00462E14">
              <w:rPr>
                <w:sz w:val="56"/>
                <w:szCs w:val="56"/>
              </w:rPr>
              <w:t>Credits</w:t>
            </w:r>
          </w:p>
        </w:tc>
      </w:tr>
      <w:tr w:rsidR="00091423" w14:paraId="5B1E511F" w14:textId="77777777" w:rsidTr="00F832A0">
        <w:tc>
          <w:tcPr>
            <w:tcW w:w="9540" w:type="dxa"/>
            <w:gridSpan w:val="2"/>
          </w:tcPr>
          <w:p w14:paraId="1D582238" w14:textId="465DB40C" w:rsidR="00FD2E9E" w:rsidRPr="000B6423" w:rsidRDefault="00462E14" w:rsidP="000B6423">
            <w:pPr>
              <w:pStyle w:val="introcopy"/>
              <w:spacing w:after="24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E</w:t>
            </w:r>
            <w:r w:rsidR="00FD2E9E" w:rsidRPr="000B6423">
              <w:rPr>
                <w:sz w:val="28"/>
                <w:szCs w:val="28"/>
              </w:rPr>
              <w:t xml:space="preserve">nrollment runs from </w:t>
            </w:r>
            <w:r w:rsidR="00FD2E9E" w:rsidRPr="000B6423">
              <w:rPr>
                <w:b/>
                <w:sz w:val="28"/>
                <w:szCs w:val="28"/>
              </w:rPr>
              <w:t>October 1</w:t>
            </w:r>
            <w:r w:rsidR="00037E51">
              <w:rPr>
                <w:b/>
                <w:sz w:val="28"/>
                <w:szCs w:val="28"/>
              </w:rPr>
              <w:t>5 to November 18</w:t>
            </w:r>
            <w:r>
              <w:rPr>
                <w:sz w:val="28"/>
                <w:szCs w:val="28"/>
              </w:rPr>
              <w:t>. To help you enroll</w:t>
            </w:r>
            <w:r w:rsidR="006D0171">
              <w:rPr>
                <w:sz w:val="28"/>
                <w:szCs w:val="28"/>
              </w:rPr>
              <w:t xml:space="preserve"> – and receive your wellness premium credits – </w:t>
            </w:r>
            <w:r>
              <w:rPr>
                <w:sz w:val="28"/>
                <w:szCs w:val="28"/>
              </w:rPr>
              <w:t xml:space="preserve">please see the </w:t>
            </w:r>
            <w:r w:rsidR="006D0171">
              <w:rPr>
                <w:sz w:val="28"/>
                <w:szCs w:val="28"/>
              </w:rPr>
              <w:t>Step-by-Step Annual Enrollment instructions and review the overview below.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07686" w:themeFill="text2"/>
              <w:tblCellMar>
                <w:top w:w="72" w:type="dxa"/>
                <w:left w:w="216" w:type="dxa"/>
                <w:bottom w:w="72" w:type="dxa"/>
                <w:right w:w="216" w:type="dxa"/>
              </w:tblCellMar>
              <w:tblLook w:val="04A0" w:firstRow="1" w:lastRow="0" w:firstColumn="1" w:lastColumn="0" w:noHBand="0" w:noVBand="1"/>
            </w:tblPr>
            <w:tblGrid>
              <w:gridCol w:w="9115"/>
            </w:tblGrid>
            <w:tr w:rsidR="00FD2E9E" w:rsidRPr="00E47D74" w14:paraId="661E19DD" w14:textId="77777777" w:rsidTr="00991541">
              <w:tc>
                <w:tcPr>
                  <w:tcW w:w="9115" w:type="dxa"/>
                  <w:shd w:val="clear" w:color="auto" w:fill="107686" w:themeFill="text2"/>
                </w:tcPr>
                <w:p w14:paraId="1143A0A6" w14:textId="17AA08D7" w:rsidR="00FD2E9E" w:rsidRPr="00E47D74" w:rsidRDefault="006D0171" w:rsidP="007D6A6D">
                  <w:pPr>
                    <w:pStyle w:val="Callouthead-white"/>
                    <w:spacing w:before="120"/>
                  </w:pPr>
                  <w:r>
                    <w:t>Step-by-Step Annual Enrollment</w:t>
                  </w:r>
                  <w:r w:rsidR="00462E14">
                    <w:t xml:space="preserve"> </w:t>
                  </w:r>
                  <w:r>
                    <w:t>Instructions</w:t>
                  </w:r>
                </w:p>
                <w:p w14:paraId="6A76AED5" w14:textId="2E35C73A" w:rsidR="00010F3E" w:rsidRPr="00E47D74" w:rsidRDefault="009A6B9A" w:rsidP="00F369D4">
                  <w:pPr>
                    <w:pStyle w:val="body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Cs w:val="20"/>
                    </w:rPr>
                    <w:t xml:space="preserve">Click </w:t>
                  </w:r>
                  <w:hyperlink r:id="rId8" w:history="1">
                    <w:r w:rsidR="00462E14" w:rsidRPr="00F369D4">
                      <w:rPr>
                        <w:rStyle w:val="Hyperlink"/>
                        <w:color w:val="FFFFFF" w:themeColor="background1"/>
                        <w:szCs w:val="20"/>
                      </w:rPr>
                      <w:t>here</w:t>
                    </w:r>
                  </w:hyperlink>
                  <w:r w:rsidR="00462E14">
                    <w:rPr>
                      <w:color w:val="FFFFFF" w:themeColor="background1"/>
                      <w:szCs w:val="20"/>
                    </w:rPr>
                    <w:t xml:space="preserve"> for detailed screenshots that walk you through </w:t>
                  </w:r>
                  <w:r>
                    <w:rPr>
                      <w:color w:val="FFFFFF" w:themeColor="background1"/>
                      <w:szCs w:val="20"/>
                    </w:rPr>
                    <w:t>enrolling for medical coverage</w:t>
                  </w:r>
                  <w:r w:rsidR="00A34FFF">
                    <w:rPr>
                      <w:color w:val="FFFFFF" w:themeColor="background1"/>
                      <w:szCs w:val="20"/>
                    </w:rPr>
                    <w:t xml:space="preserve"> with the State Health Plan</w:t>
                  </w:r>
                  <w:r>
                    <w:rPr>
                      <w:color w:val="FFFFFF" w:themeColor="background1"/>
                      <w:szCs w:val="20"/>
                    </w:rPr>
                    <w:t xml:space="preserve"> and completing the wellness premium credits process online</w:t>
                  </w:r>
                  <w:r w:rsidR="00462E14">
                    <w:rPr>
                      <w:color w:val="FFFFFF" w:themeColor="background1"/>
                      <w:szCs w:val="20"/>
                    </w:rPr>
                    <w:t>.</w:t>
                  </w:r>
                </w:p>
              </w:tc>
            </w:tr>
          </w:tbl>
          <w:p w14:paraId="2BD3101F" w14:textId="77777777" w:rsidR="00FD2E9E" w:rsidRPr="00693D0E" w:rsidRDefault="00FD2E9E" w:rsidP="00E806A1">
            <w:pPr>
              <w:pStyle w:val="introcopy"/>
            </w:pPr>
          </w:p>
        </w:tc>
      </w:tr>
      <w:tr w:rsidR="00091423" w14:paraId="7AF7568C" w14:textId="77777777" w:rsidTr="00F832A0">
        <w:tc>
          <w:tcPr>
            <w:tcW w:w="9540" w:type="dxa"/>
            <w:gridSpan w:val="2"/>
          </w:tcPr>
          <w:p w14:paraId="491D0FE3" w14:textId="038598F8" w:rsidR="002F3D63" w:rsidRDefault="002F3D63" w:rsidP="001649EA">
            <w:pPr>
              <w:pStyle w:val="body"/>
            </w:pPr>
            <w:r w:rsidRPr="00FD2E9E">
              <w:t xml:space="preserve"> </w:t>
            </w:r>
          </w:p>
        </w:tc>
      </w:tr>
      <w:tr w:rsidR="00693D0E" w14:paraId="53652D7A" w14:textId="77777777" w:rsidTr="00F832A0">
        <w:tc>
          <w:tcPr>
            <w:tcW w:w="7304" w:type="dxa"/>
            <w:tcMar>
              <w:right w:w="216" w:type="dxa"/>
            </w:tcMar>
          </w:tcPr>
          <w:p w14:paraId="245E4B45" w14:textId="26AEBD83" w:rsidR="002F3D63" w:rsidRDefault="00C8040B" w:rsidP="00E47D74">
            <w:pPr>
              <w:pStyle w:val="Heading2"/>
              <w:outlineLvl w:val="1"/>
            </w:pPr>
            <w:r>
              <w:t>GET STARTED</w:t>
            </w:r>
          </w:p>
          <w:p w14:paraId="152A89A7" w14:textId="1CF445E2" w:rsidR="00E94B3B" w:rsidRPr="00E94B3B" w:rsidRDefault="00C8040B" w:rsidP="00E94B3B">
            <w:pPr>
              <w:rPr>
                <w:rFonts w:cs="Arial"/>
                <w:szCs w:val="20"/>
              </w:rPr>
            </w:pPr>
            <w:r w:rsidRPr="00E94B3B">
              <w:rPr>
                <w:rFonts w:cs="Arial"/>
                <w:szCs w:val="20"/>
              </w:rPr>
              <w:t>To begin the enrollment process</w:t>
            </w:r>
            <w:r w:rsidR="00DD2852" w:rsidRPr="00E94B3B">
              <w:rPr>
                <w:rFonts w:cs="Arial"/>
                <w:szCs w:val="20"/>
              </w:rPr>
              <w:t xml:space="preserve">, </w:t>
            </w:r>
            <w:r w:rsidR="00E94B3B">
              <w:rPr>
                <w:rFonts w:cs="Arial"/>
                <w:szCs w:val="20"/>
              </w:rPr>
              <w:t>l</w:t>
            </w:r>
            <w:r w:rsidR="00E94B3B" w:rsidRPr="00E94B3B">
              <w:rPr>
                <w:rFonts w:cs="Arial"/>
                <w:szCs w:val="20"/>
              </w:rPr>
              <w:t xml:space="preserve">og on to </w:t>
            </w:r>
            <w:hyperlink r:id="rId9" w:history="1">
              <w:r w:rsidR="00781CA3" w:rsidRPr="00913D0B">
                <w:rPr>
                  <w:rStyle w:val="Hyperlink"/>
                  <w:rFonts w:cs="Arial"/>
                  <w:b/>
                  <w:szCs w:val="20"/>
                </w:rPr>
                <w:t>https://shp-login.hrintouch.com</w:t>
              </w:r>
            </w:hyperlink>
            <w:r w:rsidR="00E94B3B">
              <w:rPr>
                <w:rFonts w:cs="Arial"/>
                <w:szCs w:val="20"/>
              </w:rPr>
              <w:t>.</w:t>
            </w:r>
            <w:r w:rsidR="00781CA3">
              <w:rPr>
                <w:rFonts w:cs="Arial"/>
                <w:szCs w:val="20"/>
              </w:rPr>
              <w:t xml:space="preserve"> Follow the prompts.</w:t>
            </w:r>
          </w:p>
          <w:p w14:paraId="5424BCC9" w14:textId="7956E20A" w:rsidR="00DD2852" w:rsidRDefault="00DD2852" w:rsidP="00DD2852">
            <w:pPr>
              <w:pStyle w:val="Heading2"/>
              <w:outlineLvl w:val="1"/>
            </w:pPr>
            <w:r>
              <w:t xml:space="preserve">How to receive YOur wellness </w:t>
            </w:r>
            <w:r w:rsidR="00C8040B">
              <w:t xml:space="preserve">Premium </w:t>
            </w:r>
            <w:r>
              <w:t>Credits</w:t>
            </w:r>
          </w:p>
          <w:p w14:paraId="75A3D5F3" w14:textId="214C28EA" w:rsidR="00210883" w:rsidRDefault="00210883" w:rsidP="00DD28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</w:t>
            </w:r>
            <w:r w:rsidRPr="00E47D74">
              <w:rPr>
                <w:rFonts w:cs="Arial"/>
                <w:szCs w:val="20"/>
              </w:rPr>
              <w:t xml:space="preserve"> you are enrolled in the Enhanced 80/20 </w:t>
            </w:r>
            <w:r>
              <w:rPr>
                <w:rFonts w:cs="Arial"/>
                <w:szCs w:val="20"/>
              </w:rPr>
              <w:t xml:space="preserve">Plan </w:t>
            </w:r>
            <w:r w:rsidRPr="00E47D74">
              <w:rPr>
                <w:rFonts w:cs="Arial"/>
                <w:szCs w:val="20"/>
              </w:rPr>
              <w:t>or the Consumer</w:t>
            </w:r>
            <w:r>
              <w:rPr>
                <w:rFonts w:cs="Arial"/>
                <w:szCs w:val="20"/>
              </w:rPr>
              <w:t xml:space="preserve"> </w:t>
            </w:r>
            <w:r w:rsidRPr="00E47D74">
              <w:rPr>
                <w:rFonts w:cs="Arial"/>
                <w:szCs w:val="20"/>
              </w:rPr>
              <w:t xml:space="preserve">Directed Health Plan (CDHP) through the State Health Plan and wish to maintain or lower your premium, you </w:t>
            </w:r>
            <w:r w:rsidRPr="00960216">
              <w:rPr>
                <w:rFonts w:cs="Arial"/>
                <w:b/>
                <w:szCs w:val="20"/>
              </w:rPr>
              <w:t>MUST</w:t>
            </w:r>
            <w:r w:rsidRPr="00E47D74">
              <w:rPr>
                <w:rFonts w:cs="Arial"/>
                <w:szCs w:val="20"/>
              </w:rPr>
              <w:t xml:space="preserve"> </w:t>
            </w:r>
            <w:r w:rsidRPr="00E47D74">
              <w:rPr>
                <w:rFonts w:cs="Arial"/>
                <w:b/>
                <w:szCs w:val="20"/>
              </w:rPr>
              <w:t>complete your wellness premium credits by November 18, 2015</w:t>
            </w:r>
            <w:r w:rsidRPr="00E47D74">
              <w:rPr>
                <w:rFonts w:cs="Arial"/>
                <w:szCs w:val="20"/>
              </w:rPr>
              <w:t xml:space="preserve">. </w:t>
            </w:r>
            <w:r w:rsidRPr="00454947">
              <w:t xml:space="preserve">Click </w:t>
            </w:r>
            <w:hyperlink r:id="rId10" w:history="1">
              <w:r w:rsidRPr="00083A5D">
                <w:rPr>
                  <w:rStyle w:val="Hyperlink"/>
                  <w:rFonts w:cs="Arial"/>
                  <w:b/>
                  <w:szCs w:val="20"/>
                </w:rPr>
                <w:t>here</w:t>
              </w:r>
            </w:hyperlink>
            <w:r w:rsidRPr="00083A5D">
              <w:rPr>
                <w:b/>
              </w:rPr>
              <w:t xml:space="preserve"> </w:t>
            </w:r>
            <w:r w:rsidRPr="00454947">
              <w:t>for more details</w:t>
            </w:r>
            <w:r>
              <w:t>.</w:t>
            </w:r>
            <w:r w:rsidRPr="00454947">
              <w:t xml:space="preserve"> </w:t>
            </w:r>
            <w:r w:rsidRPr="00E47D74">
              <w:rPr>
                <w:rFonts w:cs="Arial"/>
                <w:szCs w:val="20"/>
              </w:rPr>
              <w:t xml:space="preserve"> </w:t>
            </w:r>
          </w:p>
          <w:p w14:paraId="0D72EDB7" w14:textId="77777777" w:rsidR="00210883" w:rsidRDefault="00210883" w:rsidP="00DD2852">
            <w:pPr>
              <w:rPr>
                <w:rFonts w:cs="Arial"/>
                <w:szCs w:val="20"/>
              </w:rPr>
            </w:pPr>
          </w:p>
          <w:p w14:paraId="2285A980" w14:textId="65B44E7E" w:rsidR="00DD2852" w:rsidRDefault="00DD2852" w:rsidP="00DD2852">
            <w:r>
              <w:t xml:space="preserve">To receive your wellness </w:t>
            </w:r>
            <w:r w:rsidR="00C8040B">
              <w:t xml:space="preserve">premium </w:t>
            </w:r>
            <w:r>
              <w:t xml:space="preserve">credits, you must complete </w:t>
            </w:r>
            <w:r w:rsidR="00462C50">
              <w:t xml:space="preserve">the following </w:t>
            </w:r>
            <w:r w:rsidR="00334BA1">
              <w:t>key steps</w:t>
            </w:r>
            <w:r w:rsidR="00C8040B">
              <w:t xml:space="preserve"> during the enrollment process.</w:t>
            </w:r>
          </w:p>
          <w:p w14:paraId="55105B26" w14:textId="6699C80E" w:rsidR="00334BA1" w:rsidRDefault="00334BA1" w:rsidP="00DD2852"/>
          <w:p w14:paraId="50E05B22" w14:textId="3F18ED1E" w:rsidR="00F832A0" w:rsidRDefault="00462C50" w:rsidP="00C44726">
            <w:pPr>
              <w:pStyle w:val="ListParagraph"/>
              <w:numPr>
                <w:ilvl w:val="0"/>
                <w:numId w:val="28"/>
              </w:numPr>
            </w:pPr>
            <w:r w:rsidRPr="00F832A0">
              <w:rPr>
                <w:rFonts w:asciiTheme="minorHAnsi" w:hAnsiTheme="minorHAnsi" w:cstheme="minorHAnsi"/>
                <w:color w:val="000000"/>
              </w:rPr>
              <w:t xml:space="preserve">You </w:t>
            </w:r>
            <w:r w:rsidR="00A34FFF" w:rsidRPr="00F832A0">
              <w:rPr>
                <w:rFonts w:asciiTheme="minorHAnsi" w:hAnsiTheme="minorHAnsi" w:cstheme="minorHAnsi"/>
                <w:b/>
                <w:color w:val="000000"/>
              </w:rPr>
              <w:t>MUST</w:t>
            </w:r>
            <w:r w:rsidR="00A34FFF" w:rsidRPr="00F832A0">
              <w:rPr>
                <w:rFonts w:asciiTheme="minorHAnsi" w:hAnsiTheme="minorHAnsi" w:cstheme="minorHAnsi"/>
                <w:color w:val="000000"/>
              </w:rPr>
              <w:t xml:space="preserve"> select a </w:t>
            </w:r>
            <w:r w:rsidR="00896C93">
              <w:rPr>
                <w:rFonts w:asciiTheme="minorHAnsi" w:hAnsiTheme="minorHAnsi" w:cstheme="minorHAnsi"/>
                <w:color w:val="000000"/>
              </w:rPr>
              <w:t>Primary Care Provider (</w:t>
            </w:r>
            <w:r w:rsidR="00A34FFF" w:rsidRPr="00F832A0">
              <w:rPr>
                <w:rFonts w:asciiTheme="minorHAnsi" w:hAnsiTheme="minorHAnsi" w:cstheme="minorHAnsi"/>
                <w:color w:val="000000"/>
              </w:rPr>
              <w:t>PCP</w:t>
            </w:r>
            <w:r w:rsidR="00896C93">
              <w:rPr>
                <w:rFonts w:asciiTheme="minorHAnsi" w:hAnsiTheme="minorHAnsi" w:cstheme="minorHAnsi"/>
                <w:color w:val="000000"/>
              </w:rPr>
              <w:t>) for you and your covered dependents</w:t>
            </w:r>
            <w:r w:rsidR="00A34FFF" w:rsidRPr="00F832A0">
              <w:rPr>
                <w:rFonts w:asciiTheme="minorHAnsi" w:hAnsiTheme="minorHAnsi" w:cstheme="minorHAnsi"/>
                <w:color w:val="000000"/>
              </w:rPr>
              <w:t>. In addition, you should</w:t>
            </w:r>
            <w:r w:rsidR="00A34FFF" w:rsidRPr="00F832A0">
              <w:rPr>
                <w:rFonts w:ascii="Calibri" w:hAnsi="Calibri"/>
                <w:color w:val="000000"/>
              </w:rPr>
              <w:t xml:space="preserve"> </w:t>
            </w:r>
            <w:r w:rsidR="00A34FFF">
              <w:t>w</w:t>
            </w:r>
            <w:r w:rsidR="00C8040B" w:rsidRPr="00C44726">
              <w:t>atch a video to learn more about</w:t>
            </w:r>
            <w:r w:rsidR="00C8040B">
              <w:t xml:space="preserve"> Patient-Centered Medical Homes. </w:t>
            </w:r>
            <w:hyperlink r:id="rId11" w:history="1">
              <w:r w:rsidR="00C8040B" w:rsidRPr="00F832A0">
                <w:rPr>
                  <w:rStyle w:val="Hyperlink"/>
                  <w:b/>
                </w:rPr>
                <w:t>See</w:t>
              </w:r>
              <w:r w:rsidR="00210883" w:rsidRPr="00F832A0">
                <w:rPr>
                  <w:rStyle w:val="Hyperlink"/>
                  <w:b/>
                </w:rPr>
                <w:t xml:space="preserve"> Steps 4 and</w:t>
              </w:r>
              <w:r w:rsidR="00C8040B" w:rsidRPr="00F832A0">
                <w:rPr>
                  <w:rStyle w:val="Hyperlink"/>
                  <w:b/>
                </w:rPr>
                <w:t xml:space="preserve"> 11</w:t>
              </w:r>
            </w:hyperlink>
            <w:r w:rsidR="00C8040B">
              <w:t xml:space="preserve">. </w:t>
            </w:r>
            <w:r w:rsidR="00334BA1">
              <w:t xml:space="preserve"> </w:t>
            </w:r>
            <w:r w:rsidR="00334BA1" w:rsidRPr="00F832A0">
              <w:rPr>
                <w:b/>
                <w:caps/>
                <w:color w:val="107686" w:themeColor="text2"/>
                <w:sz w:val="22"/>
              </w:rPr>
              <w:t>N</w:t>
            </w:r>
            <w:r w:rsidR="00EC5DA0" w:rsidRPr="00F832A0">
              <w:rPr>
                <w:b/>
                <w:color w:val="107686" w:themeColor="text2"/>
                <w:sz w:val="22"/>
              </w:rPr>
              <w:t>ote</w:t>
            </w:r>
            <w:r w:rsidR="00334BA1" w:rsidRPr="00F832A0">
              <w:rPr>
                <w:b/>
                <w:caps/>
                <w:color w:val="107686" w:themeColor="text2"/>
                <w:sz w:val="22"/>
              </w:rPr>
              <w:t>:</w:t>
            </w:r>
            <w:r w:rsidR="00334BA1">
              <w:t xml:space="preserve"> The video </w:t>
            </w:r>
            <w:r w:rsidR="00A34FFF">
              <w:t xml:space="preserve">should </w:t>
            </w:r>
            <w:r w:rsidR="00334BA1">
              <w:t xml:space="preserve">launch in any </w:t>
            </w:r>
            <w:r w:rsidR="00334BA1" w:rsidRPr="00334BA1">
              <w:t xml:space="preserve">browser from Internet Explorer 9 and above, Chrome, Firefox, Safari and </w:t>
            </w:r>
            <w:r w:rsidR="00334BA1">
              <w:t>more</w:t>
            </w:r>
            <w:r w:rsidR="00334BA1" w:rsidRPr="00334BA1">
              <w:t>. It doesn't require a player to launch.</w:t>
            </w:r>
            <w:r w:rsidR="00EC5DA0">
              <w:t xml:space="preserve"> Once you watch the video, just click on the “x” to exit the screen</w:t>
            </w:r>
            <w:r w:rsidR="00F832A0">
              <w:t>.</w:t>
            </w:r>
            <w:r w:rsidR="00F832A0" w:rsidRPr="00822AB1">
              <w:rPr>
                <w:rFonts w:asciiTheme="minorHAnsi" w:hAnsiTheme="minorHAnsi" w:cstheme="minorHAnsi"/>
                <w:color w:val="000000"/>
              </w:rPr>
              <w:t xml:space="preserve"> You DO NOT need to watch the video each time you log</w:t>
            </w:r>
            <w:r w:rsidR="00F832A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832A0" w:rsidRPr="00822AB1">
              <w:rPr>
                <w:rFonts w:asciiTheme="minorHAnsi" w:hAnsiTheme="minorHAnsi" w:cstheme="minorHAnsi"/>
                <w:color w:val="000000"/>
              </w:rPr>
              <w:t>on, so just click “x” to continue past the video after you log on.</w:t>
            </w:r>
            <w:r w:rsidR="00334BA1">
              <w:t xml:space="preserve"> </w:t>
            </w:r>
            <w:r w:rsidR="00334BA1" w:rsidRPr="00334BA1">
              <w:t xml:space="preserve">If </w:t>
            </w:r>
            <w:r w:rsidR="00334BA1">
              <w:t>you</w:t>
            </w:r>
            <w:r w:rsidR="00334BA1" w:rsidRPr="00334BA1">
              <w:t xml:space="preserve"> are unable to access the video, </w:t>
            </w:r>
            <w:r w:rsidR="00334BA1">
              <w:t xml:space="preserve">call the </w:t>
            </w:r>
            <w:r w:rsidR="00896C93">
              <w:t>Eligibility and Enrollment</w:t>
            </w:r>
            <w:r w:rsidR="00334BA1">
              <w:t xml:space="preserve"> </w:t>
            </w:r>
            <w:r w:rsidR="00896C93">
              <w:t>C</w:t>
            </w:r>
            <w:r w:rsidR="00334BA1">
              <w:t xml:space="preserve">enter at </w:t>
            </w:r>
            <w:r w:rsidR="00334BA1" w:rsidRPr="00F832A0">
              <w:rPr>
                <w:b/>
              </w:rPr>
              <w:t>855-859-0966.</w:t>
            </w:r>
            <w:r w:rsidR="00334BA1" w:rsidRPr="00334BA1">
              <w:t xml:space="preserve"> </w:t>
            </w:r>
            <w:r w:rsidR="00334BA1">
              <w:t>A representative</w:t>
            </w:r>
            <w:r w:rsidR="00334BA1" w:rsidRPr="00334BA1">
              <w:t xml:space="preserve"> can read a short script via phone.</w:t>
            </w:r>
          </w:p>
          <w:p w14:paraId="24FA557C" w14:textId="77777777" w:rsidR="00F832A0" w:rsidRPr="00F832A0" w:rsidRDefault="00F832A0" w:rsidP="00F832A0">
            <w:pPr>
              <w:ind w:left="360"/>
            </w:pPr>
          </w:p>
          <w:p w14:paraId="77C9A54E" w14:textId="01380686" w:rsidR="00C44726" w:rsidRDefault="00334BA1" w:rsidP="00C44726">
            <w:pPr>
              <w:pStyle w:val="ListParagraph"/>
              <w:numPr>
                <w:ilvl w:val="0"/>
                <w:numId w:val="28"/>
              </w:numPr>
            </w:pPr>
            <w:r w:rsidRPr="00F832A0">
              <w:rPr>
                <w:rFonts w:ascii="Calibri" w:hAnsi="Calibri"/>
                <w:color w:val="000000"/>
              </w:rPr>
              <w:t xml:space="preserve"> </w:t>
            </w:r>
            <w:r w:rsidR="00DD2852">
              <w:t xml:space="preserve">Complete the Health Assessment. </w:t>
            </w:r>
            <w:hyperlink r:id="rId12" w:history="1">
              <w:r w:rsidR="00C8040B" w:rsidRPr="00F832A0">
                <w:rPr>
                  <w:rStyle w:val="Hyperlink"/>
                  <w:b/>
                </w:rPr>
                <w:t>See Step 12</w:t>
              </w:r>
            </w:hyperlink>
            <w:r w:rsidR="00C8040B">
              <w:t>.</w:t>
            </w:r>
          </w:p>
          <w:p w14:paraId="6F859DF0" w14:textId="77777777" w:rsidR="00334BA1" w:rsidRDefault="00334BA1" w:rsidP="00334BA1"/>
          <w:p w14:paraId="06603921" w14:textId="56A54FFE" w:rsidR="00210883" w:rsidRPr="00210883" w:rsidRDefault="00C8040B" w:rsidP="00A209DF">
            <w:pPr>
              <w:pStyle w:val="ListParagraph"/>
              <w:numPr>
                <w:ilvl w:val="0"/>
                <w:numId w:val="28"/>
              </w:numPr>
            </w:pPr>
            <w:r>
              <w:t xml:space="preserve">Complete your Tobacco User Attestation. </w:t>
            </w:r>
            <w:hyperlink r:id="rId13" w:history="1">
              <w:r w:rsidRPr="00F832A0">
                <w:rPr>
                  <w:rStyle w:val="Hyperlink"/>
                  <w:b/>
                </w:rPr>
                <w:t>See Step 13</w:t>
              </w:r>
            </w:hyperlink>
            <w:r>
              <w:t>.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left w:w="216" w:type="dxa"/>
              <w:bottom w:w="0" w:type="dxa"/>
              <w:right w:w="216" w:type="dxa"/>
            </w:tcMar>
          </w:tcPr>
          <w:p w14:paraId="2F72C591" w14:textId="1C445C3D" w:rsidR="00693D0E" w:rsidRDefault="001925E1" w:rsidP="007D6A6D">
            <w:pPr>
              <w:pStyle w:val="bullets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5D83A24" wp14:editId="79679D1A">
                  <wp:extent cx="1152144" cy="1489225"/>
                  <wp:effectExtent l="0" t="0" r="0" b="9525"/>
                  <wp:docPr id="2" name="Picture 2" descr="Macintosh HD:Users:xh3ym9n:Desktop:Files-post surgery:UNC:2016 Enrollment:HTML emails:UNC-2016 OE Highlighter 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xh3ym9n:Desktop:Files-post surgery:UNC:2016 Enrollment:HTML emails:UNC-2016 OE Highlighter 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44" cy="148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9A1E8" w14:textId="268A5C0E" w:rsidR="00502EDE" w:rsidRPr="003E3593" w:rsidRDefault="00D16383" w:rsidP="007D6A6D">
            <w:pPr>
              <w:pStyle w:val="bullets"/>
              <w:numPr>
                <w:ilvl w:val="0"/>
                <w:numId w:val="0"/>
              </w:numPr>
              <w:rPr>
                <w:szCs w:val="20"/>
              </w:rPr>
            </w:pPr>
            <w:r w:rsidRPr="003E3593">
              <w:rPr>
                <w:szCs w:val="20"/>
              </w:rPr>
              <w:t xml:space="preserve">Click </w:t>
            </w:r>
            <w:hyperlink r:id="rId15" w:history="1">
              <w:r w:rsidRPr="001925E1">
                <w:rPr>
                  <w:rStyle w:val="Hyperlink"/>
                  <w:b/>
                  <w:szCs w:val="20"/>
                </w:rPr>
                <w:t>here</w:t>
              </w:r>
            </w:hyperlink>
            <w:r w:rsidRPr="003E3593">
              <w:rPr>
                <w:szCs w:val="20"/>
              </w:rPr>
              <w:t xml:space="preserve"> to review more</w:t>
            </w:r>
            <w:r w:rsidR="0097098D">
              <w:rPr>
                <w:szCs w:val="20"/>
              </w:rPr>
              <w:t xml:space="preserve"> detailed information about 2016</w:t>
            </w:r>
            <w:r w:rsidRPr="003E3593">
              <w:rPr>
                <w:szCs w:val="20"/>
              </w:rPr>
              <w:t xml:space="preserve"> benefit options.</w:t>
            </w:r>
          </w:p>
        </w:tc>
      </w:tr>
      <w:tr w:rsidR="0096269B" w14:paraId="3972425D" w14:textId="77777777" w:rsidTr="00F832A0">
        <w:tc>
          <w:tcPr>
            <w:tcW w:w="9540" w:type="dxa"/>
            <w:gridSpan w:val="2"/>
            <w:tcMar>
              <w:right w:w="216" w:type="dxa"/>
            </w:tcMar>
          </w:tcPr>
          <w:p w14:paraId="76160AE5" w14:textId="77777777" w:rsidR="0096269B" w:rsidRDefault="0096269B" w:rsidP="0096269B">
            <w:pPr>
              <w:pStyle w:val="Heading2"/>
              <w:outlineLvl w:val="1"/>
            </w:pPr>
            <w:r w:rsidRPr="00210883">
              <w:t>Complete Your Enrollment</w:t>
            </w:r>
          </w:p>
          <w:p w14:paraId="74F0D0C7" w14:textId="5A06209C" w:rsidR="0096269B" w:rsidRPr="00502EDE" w:rsidRDefault="0096269B" w:rsidP="0096269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EDE">
              <w:rPr>
                <w:rFonts w:asciiTheme="minorHAnsi" w:hAnsiTheme="minorHAnsi" w:cstheme="minorHAnsi"/>
                <w:sz w:val="20"/>
                <w:szCs w:val="20"/>
              </w:rPr>
              <w:t xml:space="preserve">Once you finish the Premium Credit section, follow the final prompts to complete your enrollment. Be sure to click </w:t>
            </w:r>
            <w:r w:rsidRPr="00502EDE">
              <w:rPr>
                <w:rFonts w:asciiTheme="minorHAnsi" w:hAnsiTheme="minorHAnsi" w:cstheme="minorHAnsi"/>
                <w:b/>
                <w:sz w:val="20"/>
                <w:szCs w:val="20"/>
              </w:rPr>
              <w:t>Save</w:t>
            </w:r>
            <w:r w:rsidRPr="00502EDE">
              <w:rPr>
                <w:rFonts w:asciiTheme="minorHAnsi" w:hAnsiTheme="minorHAnsi" w:cstheme="minorHAnsi"/>
                <w:sz w:val="20"/>
                <w:szCs w:val="20"/>
              </w:rPr>
              <w:t xml:space="preserve">. Once you see </w:t>
            </w:r>
            <w:r w:rsidRPr="00502EDE">
              <w:rPr>
                <w:rFonts w:asciiTheme="minorHAnsi" w:hAnsiTheme="minorHAnsi" w:cstheme="minorHAnsi"/>
                <w:b/>
                <w:sz w:val="20"/>
                <w:szCs w:val="20"/>
              </w:rPr>
              <w:t>Enrollment Complete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AA203D">
              <w:rPr>
                <w:rFonts w:asciiTheme="minorHAnsi" w:hAnsiTheme="minorHAnsi" w:cstheme="minorHAnsi"/>
                <w:sz w:val="20"/>
                <w:szCs w:val="20"/>
              </w:rPr>
              <w:t>you will know your enrollment has been successfully completed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A203D">
              <w:rPr>
                <w:rFonts w:asciiTheme="minorHAnsi" w:hAnsiTheme="minorHAnsi" w:cstheme="minorHAnsi"/>
                <w:sz w:val="20"/>
                <w:szCs w:val="20"/>
              </w:rPr>
              <w:t>To print a confirmation statement:</w:t>
            </w:r>
          </w:p>
          <w:p w14:paraId="55864CD7" w14:textId="77777777" w:rsidR="0096269B" w:rsidRPr="00A209DF" w:rsidRDefault="0096269B" w:rsidP="009626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1C3EB956" w14:textId="77777777" w:rsidR="0096269B" w:rsidRPr="00502EDE" w:rsidRDefault="0096269B" w:rsidP="009626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09DF">
              <w:rPr>
                <w:rFonts w:asciiTheme="minorHAnsi" w:hAnsiTheme="minorHAnsi" w:cstheme="minorHAnsi"/>
                <w:sz w:val="20"/>
                <w:szCs w:val="20"/>
              </w:rPr>
              <w:t xml:space="preserve">Click </w:t>
            </w:r>
            <w:r w:rsidRPr="00A209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Home </w:t>
            </w:r>
          </w:p>
          <w:p w14:paraId="2D58DAEE" w14:textId="77777777" w:rsidR="0096269B" w:rsidRPr="00502EDE" w:rsidRDefault="0096269B" w:rsidP="009626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2EDE">
              <w:rPr>
                <w:rFonts w:asciiTheme="minorHAnsi" w:hAnsiTheme="minorHAnsi" w:cstheme="minorHAnsi"/>
                <w:sz w:val="20"/>
                <w:szCs w:val="20"/>
              </w:rPr>
              <w:t xml:space="preserve">Click </w:t>
            </w:r>
            <w:r w:rsidRPr="00502EDE">
              <w:rPr>
                <w:rFonts w:asciiTheme="minorHAnsi" w:hAnsiTheme="minorHAnsi" w:cstheme="minorHAnsi"/>
                <w:b/>
                <w:sz w:val="20"/>
                <w:szCs w:val="20"/>
              </w:rPr>
              <w:t>Subscriber Detail Report</w:t>
            </w:r>
            <w:r w:rsidRPr="00502EDE">
              <w:rPr>
                <w:rFonts w:asciiTheme="minorHAnsi" w:hAnsiTheme="minorHAnsi" w:cstheme="minorHAnsi"/>
                <w:sz w:val="20"/>
                <w:szCs w:val="20"/>
              </w:rPr>
              <w:t xml:space="preserve"> under </w:t>
            </w:r>
            <w:r w:rsidRPr="00502EDE">
              <w:rPr>
                <w:rFonts w:asciiTheme="minorHAnsi" w:hAnsiTheme="minorHAnsi" w:cstheme="minorHAnsi"/>
                <w:b/>
                <w:sz w:val="20"/>
                <w:szCs w:val="20"/>
              </w:rPr>
              <w:t>Important Documents</w:t>
            </w:r>
            <w:r w:rsidRPr="00502E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D3A943" w14:textId="251B4AF3" w:rsidR="0096269B" w:rsidRPr="00502EDE" w:rsidRDefault="0096269B" w:rsidP="009626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DA0">
              <w:rPr>
                <w:rFonts w:asciiTheme="minorHAnsi" w:hAnsiTheme="minorHAnsi" w:cstheme="minorHAnsi"/>
                <w:sz w:val="20"/>
                <w:szCs w:val="20"/>
              </w:rPr>
              <w:t xml:space="preserve">Print your </w:t>
            </w:r>
            <w:r w:rsidR="00B0072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C5D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ummary of </w:t>
            </w:r>
            <w:r w:rsidR="00B0072B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EC5DA0">
              <w:rPr>
                <w:rFonts w:asciiTheme="minorHAnsi" w:hAnsiTheme="minorHAnsi" w:cstheme="minorHAnsi"/>
                <w:b/>
                <w:sz w:val="20"/>
                <w:szCs w:val="20"/>
              </w:rPr>
              <w:t>enefits</w:t>
            </w:r>
            <w:r w:rsidRPr="00EC5DA0">
              <w:rPr>
                <w:rFonts w:asciiTheme="minorHAnsi" w:hAnsiTheme="minorHAnsi" w:cstheme="minorHAnsi"/>
                <w:sz w:val="20"/>
                <w:szCs w:val="20"/>
              </w:rPr>
              <w:t xml:space="preserve"> for your records</w:t>
            </w:r>
            <w:r w:rsidR="00EC5DA0" w:rsidRPr="00EC5D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D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5DA0" w:rsidRPr="00EC5DA0">
              <w:rPr>
                <w:rFonts w:asciiTheme="minorHAnsi" w:hAnsiTheme="minorHAnsi" w:cstheme="minorHAnsi"/>
                <w:b/>
                <w:color w:val="107686" w:themeColor="text2"/>
                <w:sz w:val="20"/>
                <w:szCs w:val="20"/>
              </w:rPr>
              <w:t>Note:</w:t>
            </w:r>
            <w:r w:rsidR="00EC5D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5DA0" w:rsidRPr="00EC5DA0">
              <w:rPr>
                <w:rFonts w:asciiTheme="minorHAnsi" w:hAnsiTheme="minorHAnsi" w:cstheme="minorHAnsi"/>
                <w:sz w:val="20"/>
                <w:szCs w:val="20"/>
              </w:rPr>
              <w:t xml:space="preserve">It will take </w:t>
            </w:r>
            <w:r w:rsidR="00B0072B">
              <w:rPr>
                <w:rFonts w:asciiTheme="minorHAnsi" w:hAnsiTheme="minorHAnsi" w:cstheme="minorHAnsi"/>
                <w:sz w:val="20"/>
                <w:szCs w:val="20"/>
              </w:rPr>
              <w:t xml:space="preserve">between </w:t>
            </w:r>
            <w:r w:rsidR="00EC5DA0" w:rsidRPr="00EC5DA0">
              <w:rPr>
                <w:rFonts w:asciiTheme="minorHAnsi" w:hAnsiTheme="minorHAnsi" w:cstheme="minorHAnsi"/>
                <w:sz w:val="20"/>
                <w:szCs w:val="20"/>
              </w:rPr>
              <w:t xml:space="preserve">1 to 3 days for your </w:t>
            </w:r>
            <w:r w:rsidR="00A34FFF">
              <w:rPr>
                <w:rFonts w:asciiTheme="minorHAnsi" w:hAnsiTheme="minorHAnsi" w:cstheme="minorHAnsi"/>
                <w:sz w:val="20"/>
                <w:szCs w:val="20"/>
              </w:rPr>
              <w:t xml:space="preserve">Health Assessment </w:t>
            </w:r>
            <w:r w:rsidR="00EC5DA0" w:rsidRPr="00EC5DA0">
              <w:rPr>
                <w:rFonts w:asciiTheme="minorHAnsi" w:hAnsiTheme="minorHAnsi" w:cstheme="minorHAnsi"/>
                <w:sz w:val="20"/>
                <w:szCs w:val="20"/>
              </w:rPr>
              <w:t xml:space="preserve">wellness premium credits to appear on your </w:t>
            </w:r>
            <w:r w:rsidR="00B0072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C5DA0" w:rsidRPr="00EC5DA0">
              <w:rPr>
                <w:rFonts w:asciiTheme="minorHAnsi" w:hAnsiTheme="minorHAnsi" w:cstheme="minorHAnsi"/>
                <w:sz w:val="20"/>
                <w:szCs w:val="20"/>
              </w:rPr>
              <w:t xml:space="preserve">ummary of </w:t>
            </w:r>
            <w:r w:rsidR="00B0072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C5DA0" w:rsidRPr="00EC5DA0">
              <w:rPr>
                <w:rFonts w:asciiTheme="minorHAnsi" w:hAnsiTheme="minorHAnsi" w:cstheme="minorHAnsi"/>
                <w:sz w:val="20"/>
                <w:szCs w:val="20"/>
              </w:rPr>
              <w:t>enefits.</w:t>
            </w:r>
            <w:r w:rsidR="00EC5D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7215602" w14:textId="77777777" w:rsidR="0096269B" w:rsidRDefault="0096269B" w:rsidP="007D6A6D">
            <w:pPr>
              <w:pStyle w:val="bullets"/>
              <w:numPr>
                <w:ilvl w:val="0"/>
                <w:numId w:val="0"/>
              </w:numPr>
              <w:rPr>
                <w:noProof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D1E08" w:themeColor="text1"/>
                <w:left w:val="single" w:sz="4" w:space="0" w:color="5D1E08" w:themeColor="text1"/>
                <w:bottom w:val="single" w:sz="4" w:space="0" w:color="5D1E08" w:themeColor="text1"/>
                <w:right w:val="single" w:sz="4" w:space="0" w:color="5D1E08" w:themeColor="text1"/>
                <w:insideH w:val="none" w:sz="0" w:space="0" w:color="auto"/>
                <w:insideV w:val="none" w:sz="0" w:space="0" w:color="auto"/>
              </w:tblBorders>
              <w:shd w:val="clear" w:color="auto" w:fill="F8F7EC" w:themeFill="accent1" w:themeFillTint="33"/>
              <w:tblCellMar>
                <w:top w:w="72" w:type="dxa"/>
                <w:left w:w="216" w:type="dxa"/>
                <w:bottom w:w="72" w:type="dxa"/>
                <w:right w:w="216" w:type="dxa"/>
              </w:tblCellMar>
              <w:tblLook w:val="04A0" w:firstRow="1" w:lastRow="0" w:firstColumn="1" w:lastColumn="0" w:noHBand="0" w:noVBand="1"/>
            </w:tblPr>
            <w:tblGrid>
              <w:gridCol w:w="9115"/>
            </w:tblGrid>
            <w:tr w:rsidR="0096269B" w14:paraId="27C4BD15" w14:textId="77777777" w:rsidTr="0096269B">
              <w:tc>
                <w:tcPr>
                  <w:tcW w:w="9115" w:type="dxa"/>
                  <w:shd w:val="clear" w:color="auto" w:fill="F8F7EC" w:themeFill="accent1" w:themeFillTint="33"/>
                </w:tcPr>
                <w:p w14:paraId="7706F982" w14:textId="77777777" w:rsidR="0096269B" w:rsidRDefault="0096269B" w:rsidP="0096269B">
                  <w:pPr>
                    <w:pStyle w:val="body"/>
                    <w:rPr>
                      <w:b/>
                      <w:color w:val="5D1E08" w:themeColor="text1"/>
                    </w:rPr>
                  </w:pPr>
                  <w:r w:rsidRPr="00613C97">
                    <w:rPr>
                      <w:b/>
                      <w:color w:val="5D1E08" w:themeColor="text1"/>
                    </w:rPr>
                    <w:t>Important</w:t>
                  </w:r>
                  <w:r w:rsidRPr="00502EDE">
                    <w:rPr>
                      <w:b/>
                      <w:color w:val="5D1E08" w:themeColor="text1"/>
                    </w:rPr>
                    <w:t xml:space="preserve"> News About </w:t>
                  </w:r>
                  <w:r w:rsidRPr="00613C97">
                    <w:rPr>
                      <w:b/>
                      <w:color w:val="5D1E08" w:themeColor="text1"/>
                    </w:rPr>
                    <w:t>the</w:t>
                  </w:r>
                  <w:r w:rsidRPr="00502EDE">
                    <w:rPr>
                      <w:b/>
                      <w:color w:val="5D1E08" w:themeColor="text1"/>
                    </w:rPr>
                    <w:t xml:space="preserve"> NCFlex Health Programs</w:t>
                  </w:r>
                </w:p>
                <w:p w14:paraId="45FA20AF" w14:textId="619EE856" w:rsidR="0096269B" w:rsidRDefault="0096269B" w:rsidP="0096269B">
                  <w:pPr>
                    <w:pStyle w:val="bullets"/>
                    <w:numPr>
                      <w:ilvl w:val="0"/>
                      <w:numId w:val="0"/>
                    </w:numPr>
                    <w:rPr>
                      <w:noProof/>
                      <w:szCs w:val="20"/>
                    </w:rPr>
                  </w:pPr>
                  <w:r w:rsidRPr="00613C97">
                    <w:rPr>
                      <w:color w:val="5D1E08" w:themeColor="text1"/>
                    </w:rPr>
                    <w:t>As you may have heard through the media, a former state employee of the NCFlex Program has been indicted by a grand jury on the charges of felony larceny and retention of property under false pretense</w:t>
                  </w:r>
                  <w:r w:rsidRPr="007D1A9C">
                    <w:rPr>
                      <w:color w:val="5D1E08" w:themeColor="text1"/>
                    </w:rPr>
                    <w:t xml:space="preserve">. </w:t>
                  </w:r>
                  <w:r w:rsidRPr="00613C97">
                    <w:rPr>
                      <w:color w:val="5D1E08" w:themeColor="text1"/>
                      <w:u w:val="single"/>
                    </w:rPr>
                    <w:t>UNC has been assured that employee contributions and benefit coverage elected in the NCFlex program were not impacted or compromised by the</w:t>
                  </w:r>
                  <w:r>
                    <w:rPr>
                      <w:color w:val="5D1E08" w:themeColor="text1"/>
                      <w:u w:val="single"/>
                    </w:rPr>
                    <w:t xml:space="preserve"> possible</w:t>
                  </w:r>
                  <w:r w:rsidRPr="00613C97">
                    <w:rPr>
                      <w:color w:val="5D1E08" w:themeColor="text1"/>
                      <w:u w:val="single"/>
                    </w:rPr>
                    <w:t xml:space="preserve"> misuse of funds</w:t>
                  </w:r>
                  <w:r w:rsidRPr="00613C97">
                    <w:rPr>
                      <w:color w:val="5D1E08" w:themeColor="text1"/>
                    </w:rPr>
                    <w:t>. We will keep you informed if additional relevant information becomes available.</w:t>
                  </w:r>
                </w:p>
              </w:tc>
            </w:tr>
          </w:tbl>
          <w:p w14:paraId="7D72D56A" w14:textId="310DBC8B" w:rsidR="0096269B" w:rsidRDefault="0096269B" w:rsidP="0096269B">
            <w:pPr>
              <w:pStyle w:val="bullets"/>
              <w:numPr>
                <w:ilvl w:val="0"/>
                <w:numId w:val="0"/>
              </w:numPr>
              <w:rPr>
                <w:noProof/>
                <w:szCs w:val="20"/>
              </w:rPr>
            </w:pPr>
          </w:p>
        </w:tc>
      </w:tr>
      <w:tr w:rsidR="0096269B" w14:paraId="2962588C" w14:textId="77777777" w:rsidTr="00F832A0">
        <w:tc>
          <w:tcPr>
            <w:tcW w:w="9540" w:type="dxa"/>
            <w:gridSpan w:val="2"/>
            <w:tcMar>
              <w:right w:w="216" w:type="dxa"/>
            </w:tcMar>
          </w:tcPr>
          <w:p w14:paraId="7A83B276" w14:textId="77777777" w:rsidR="0096269B" w:rsidRDefault="0096269B" w:rsidP="007D6A6D">
            <w:pPr>
              <w:pStyle w:val="bullets"/>
              <w:numPr>
                <w:ilvl w:val="0"/>
                <w:numId w:val="0"/>
              </w:numPr>
              <w:rPr>
                <w:noProof/>
                <w:szCs w:val="20"/>
              </w:rPr>
            </w:pPr>
          </w:p>
        </w:tc>
      </w:tr>
      <w:tr w:rsidR="00091423" w14:paraId="114FF005" w14:textId="77777777" w:rsidTr="00F832A0">
        <w:trPr>
          <w:trHeight w:val="1017"/>
        </w:trPr>
        <w:tc>
          <w:tcPr>
            <w:tcW w:w="9540" w:type="dxa"/>
            <w:gridSpan w:val="2"/>
          </w:tcPr>
          <w:tbl>
            <w:tblPr>
              <w:tblStyle w:val="TableGrid"/>
              <w:tblW w:w="9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07686" w:themeFill="text2"/>
              <w:tblCellMar>
                <w:top w:w="72" w:type="dxa"/>
                <w:left w:w="216" w:type="dxa"/>
                <w:bottom w:w="72" w:type="dxa"/>
                <w:right w:w="216" w:type="dxa"/>
              </w:tblCellMar>
              <w:tblLook w:val="04A0" w:firstRow="1" w:lastRow="0" w:firstColumn="1" w:lastColumn="0" w:noHBand="0" w:noVBand="1"/>
            </w:tblPr>
            <w:tblGrid>
              <w:gridCol w:w="9115"/>
            </w:tblGrid>
            <w:tr w:rsidR="00210883" w:rsidRPr="00400753" w14:paraId="4F5377B5" w14:textId="77777777" w:rsidTr="0096269B">
              <w:tc>
                <w:tcPr>
                  <w:tcW w:w="9155" w:type="dxa"/>
                  <w:shd w:val="clear" w:color="auto" w:fill="107686" w:themeFill="text2"/>
                </w:tcPr>
                <w:p w14:paraId="2E09F6F2" w14:textId="77777777" w:rsidR="00210883" w:rsidRPr="00400753" w:rsidRDefault="00210883" w:rsidP="007F772D">
                  <w:pPr>
                    <w:pStyle w:val="body"/>
                    <w:rPr>
                      <w:rFonts w:cs="Arial"/>
                      <w:color w:val="FFFFFF" w:themeColor="background1"/>
                      <w:sz w:val="22"/>
                    </w:rPr>
                  </w:pPr>
                  <w:r w:rsidRPr="00400753">
                    <w:rPr>
                      <w:color w:val="FFFFFF" w:themeColor="background1"/>
                      <w:sz w:val="22"/>
                    </w:rPr>
                    <w:t xml:space="preserve">Open Enrollment </w:t>
                  </w:r>
                  <w:r w:rsidRPr="00400753">
                    <w:rPr>
                      <w:rFonts w:cs="Arial"/>
                      <w:color w:val="FFFFFF" w:themeColor="background1"/>
                      <w:sz w:val="22"/>
                    </w:rPr>
                    <w:t xml:space="preserve">is </w:t>
                  </w:r>
                  <w:r w:rsidRPr="00400753">
                    <w:rPr>
                      <w:rFonts w:cs="Arial"/>
                      <w:b/>
                      <w:color w:val="FFFFFF" w:themeColor="background1"/>
                      <w:sz w:val="22"/>
                    </w:rPr>
                    <w:t>Thursday, October 15 – Wednesday, November, 18</w:t>
                  </w:r>
                  <w:r w:rsidRPr="00400753">
                    <w:rPr>
                      <w:rFonts w:cs="Arial"/>
                      <w:color w:val="FFFFFF" w:themeColor="background1"/>
                      <w:sz w:val="22"/>
                    </w:rPr>
                    <w:t>. Be sure to enroll on time to get the coverage you need for 2016!</w:t>
                  </w:r>
                </w:p>
              </w:tc>
            </w:tr>
          </w:tbl>
          <w:p w14:paraId="60C8C58F" w14:textId="6155D3DE" w:rsidR="00091423" w:rsidRDefault="00091423" w:rsidP="00577C94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42B7A6F7" w14:textId="77777777" w:rsidR="00091423" w:rsidRDefault="00091423"/>
    <w:sectPr w:rsidR="00091423" w:rsidSect="0009142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WUW I+ Whitne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41D4"/>
    <w:multiLevelType w:val="hybridMultilevel"/>
    <w:tmpl w:val="0B8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3C2C"/>
    <w:multiLevelType w:val="multilevel"/>
    <w:tmpl w:val="D1A8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967"/>
    <w:multiLevelType w:val="hybridMultilevel"/>
    <w:tmpl w:val="B5C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CEC536B"/>
    <w:multiLevelType w:val="hybridMultilevel"/>
    <w:tmpl w:val="DCC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500B"/>
    <w:multiLevelType w:val="hybridMultilevel"/>
    <w:tmpl w:val="EA2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009A"/>
    <w:multiLevelType w:val="hybridMultilevel"/>
    <w:tmpl w:val="7A4A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E623C"/>
    <w:multiLevelType w:val="hybridMultilevel"/>
    <w:tmpl w:val="34D2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C196F"/>
    <w:multiLevelType w:val="hybridMultilevel"/>
    <w:tmpl w:val="CBC28DA4"/>
    <w:lvl w:ilvl="0" w:tplc="73BC6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B440F"/>
    <w:multiLevelType w:val="hybridMultilevel"/>
    <w:tmpl w:val="4150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6049"/>
    <w:multiLevelType w:val="hybridMultilevel"/>
    <w:tmpl w:val="504AAEE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43083A21"/>
    <w:multiLevelType w:val="hybridMultilevel"/>
    <w:tmpl w:val="75BC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C092C"/>
    <w:multiLevelType w:val="hybridMultilevel"/>
    <w:tmpl w:val="235CC6EC"/>
    <w:lvl w:ilvl="0" w:tplc="D13EF0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04EA"/>
    <w:multiLevelType w:val="hybridMultilevel"/>
    <w:tmpl w:val="82E6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773BA"/>
    <w:multiLevelType w:val="hybridMultilevel"/>
    <w:tmpl w:val="E51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95E5B"/>
    <w:multiLevelType w:val="hybridMultilevel"/>
    <w:tmpl w:val="2F9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308E"/>
    <w:multiLevelType w:val="hybridMultilevel"/>
    <w:tmpl w:val="EB34E716"/>
    <w:lvl w:ilvl="0" w:tplc="CA604A1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C592A"/>
    <w:multiLevelType w:val="hybridMultilevel"/>
    <w:tmpl w:val="D4E62892"/>
    <w:lvl w:ilvl="0" w:tplc="BAFE2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D6E7E"/>
    <w:multiLevelType w:val="hybridMultilevel"/>
    <w:tmpl w:val="487897A0"/>
    <w:lvl w:ilvl="0" w:tplc="624EA21E">
      <w:start w:val="1"/>
      <w:numFmt w:val="bullet"/>
      <w:pStyle w:val="callout-bullets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7A5A24AF"/>
    <w:multiLevelType w:val="hybridMultilevel"/>
    <w:tmpl w:val="D4E62892"/>
    <w:lvl w:ilvl="0" w:tplc="BAFE2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635B5"/>
    <w:multiLevelType w:val="multilevel"/>
    <w:tmpl w:val="DCC40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1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"/>
  </w:num>
  <w:num w:numId="18">
    <w:abstractNumId w:val="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8"/>
  </w:num>
  <w:num w:numId="25">
    <w:abstractNumId w:val="17"/>
  </w:num>
  <w:num w:numId="26">
    <w:abstractNumId w:val="0"/>
  </w:num>
  <w:num w:numId="27">
    <w:abstractNumId w:val="16"/>
  </w:num>
  <w:num w:numId="28">
    <w:abstractNumId w:val="8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3"/>
    <w:rsid w:val="00010F3E"/>
    <w:rsid w:val="00023704"/>
    <w:rsid w:val="00037E51"/>
    <w:rsid w:val="00053DC5"/>
    <w:rsid w:val="0006059B"/>
    <w:rsid w:val="00070EBF"/>
    <w:rsid w:val="000838EE"/>
    <w:rsid w:val="00083A5D"/>
    <w:rsid w:val="00087416"/>
    <w:rsid w:val="00091423"/>
    <w:rsid w:val="000B4A57"/>
    <w:rsid w:val="000B5F16"/>
    <w:rsid w:val="000B6423"/>
    <w:rsid w:val="001337B6"/>
    <w:rsid w:val="001649EA"/>
    <w:rsid w:val="00170EDC"/>
    <w:rsid w:val="001925E1"/>
    <w:rsid w:val="001977CC"/>
    <w:rsid w:val="001A0C8A"/>
    <w:rsid w:val="00210883"/>
    <w:rsid w:val="00242486"/>
    <w:rsid w:val="00247D4B"/>
    <w:rsid w:val="00273956"/>
    <w:rsid w:val="00273D69"/>
    <w:rsid w:val="0029461E"/>
    <w:rsid w:val="002C6571"/>
    <w:rsid w:val="002E2287"/>
    <w:rsid w:val="002F3D63"/>
    <w:rsid w:val="00321FCF"/>
    <w:rsid w:val="00322774"/>
    <w:rsid w:val="00331C37"/>
    <w:rsid w:val="00334BA1"/>
    <w:rsid w:val="00366BFD"/>
    <w:rsid w:val="00377CCA"/>
    <w:rsid w:val="0038213E"/>
    <w:rsid w:val="00392C42"/>
    <w:rsid w:val="003A399C"/>
    <w:rsid w:val="003C4C74"/>
    <w:rsid w:val="003C5B57"/>
    <w:rsid w:val="003E0912"/>
    <w:rsid w:val="003E3593"/>
    <w:rsid w:val="00400753"/>
    <w:rsid w:val="004120E1"/>
    <w:rsid w:val="00454947"/>
    <w:rsid w:val="00462C50"/>
    <w:rsid w:val="00462E14"/>
    <w:rsid w:val="00487528"/>
    <w:rsid w:val="004C33AD"/>
    <w:rsid w:val="004C7BBC"/>
    <w:rsid w:val="004E50F8"/>
    <w:rsid w:val="004F6AC7"/>
    <w:rsid w:val="00502EDE"/>
    <w:rsid w:val="00507822"/>
    <w:rsid w:val="00513DDE"/>
    <w:rsid w:val="0053227E"/>
    <w:rsid w:val="00541B07"/>
    <w:rsid w:val="00562302"/>
    <w:rsid w:val="00577C94"/>
    <w:rsid w:val="0058603D"/>
    <w:rsid w:val="00586C6F"/>
    <w:rsid w:val="005C1DA3"/>
    <w:rsid w:val="005E195F"/>
    <w:rsid w:val="005E48B5"/>
    <w:rsid w:val="00613C97"/>
    <w:rsid w:val="0063452E"/>
    <w:rsid w:val="0063714A"/>
    <w:rsid w:val="00641175"/>
    <w:rsid w:val="006439FA"/>
    <w:rsid w:val="00680704"/>
    <w:rsid w:val="00693D0E"/>
    <w:rsid w:val="00696BF2"/>
    <w:rsid w:val="006B54C6"/>
    <w:rsid w:val="006D0171"/>
    <w:rsid w:val="006D3D67"/>
    <w:rsid w:val="006F064B"/>
    <w:rsid w:val="006F5246"/>
    <w:rsid w:val="00751B6E"/>
    <w:rsid w:val="007637AF"/>
    <w:rsid w:val="00781CA3"/>
    <w:rsid w:val="007D1A9C"/>
    <w:rsid w:val="007D6A6D"/>
    <w:rsid w:val="007F2FAA"/>
    <w:rsid w:val="00826995"/>
    <w:rsid w:val="008639E6"/>
    <w:rsid w:val="008751D4"/>
    <w:rsid w:val="00894714"/>
    <w:rsid w:val="00896C93"/>
    <w:rsid w:val="008C314C"/>
    <w:rsid w:val="008E3C03"/>
    <w:rsid w:val="009117E8"/>
    <w:rsid w:val="009137A1"/>
    <w:rsid w:val="00925854"/>
    <w:rsid w:val="009414AC"/>
    <w:rsid w:val="00960216"/>
    <w:rsid w:val="0096269B"/>
    <w:rsid w:val="0097098D"/>
    <w:rsid w:val="00991541"/>
    <w:rsid w:val="00992D36"/>
    <w:rsid w:val="009A6B9A"/>
    <w:rsid w:val="009B748E"/>
    <w:rsid w:val="00A209DF"/>
    <w:rsid w:val="00A34FFF"/>
    <w:rsid w:val="00A62DA4"/>
    <w:rsid w:val="00A94F77"/>
    <w:rsid w:val="00AA203D"/>
    <w:rsid w:val="00AB7727"/>
    <w:rsid w:val="00AD1BA2"/>
    <w:rsid w:val="00AD210B"/>
    <w:rsid w:val="00AD6384"/>
    <w:rsid w:val="00B0072B"/>
    <w:rsid w:val="00B26CF1"/>
    <w:rsid w:val="00B3086B"/>
    <w:rsid w:val="00B60C6C"/>
    <w:rsid w:val="00B669ED"/>
    <w:rsid w:val="00B673B7"/>
    <w:rsid w:val="00B869CB"/>
    <w:rsid w:val="00BB160D"/>
    <w:rsid w:val="00BD0149"/>
    <w:rsid w:val="00BD0F3F"/>
    <w:rsid w:val="00BE1AE8"/>
    <w:rsid w:val="00BE66B0"/>
    <w:rsid w:val="00C2204B"/>
    <w:rsid w:val="00C3184D"/>
    <w:rsid w:val="00C44726"/>
    <w:rsid w:val="00C6622D"/>
    <w:rsid w:val="00C75ABF"/>
    <w:rsid w:val="00C8040B"/>
    <w:rsid w:val="00CE7DB7"/>
    <w:rsid w:val="00CF691D"/>
    <w:rsid w:val="00D06794"/>
    <w:rsid w:val="00D16383"/>
    <w:rsid w:val="00D25BDF"/>
    <w:rsid w:val="00D407FD"/>
    <w:rsid w:val="00D87914"/>
    <w:rsid w:val="00DC7386"/>
    <w:rsid w:val="00DD2852"/>
    <w:rsid w:val="00DD516A"/>
    <w:rsid w:val="00E47D74"/>
    <w:rsid w:val="00E56E08"/>
    <w:rsid w:val="00E63B16"/>
    <w:rsid w:val="00E806A1"/>
    <w:rsid w:val="00E9312D"/>
    <w:rsid w:val="00E94B3B"/>
    <w:rsid w:val="00EB38B9"/>
    <w:rsid w:val="00EC5DA0"/>
    <w:rsid w:val="00EE4DBE"/>
    <w:rsid w:val="00EE78D0"/>
    <w:rsid w:val="00EF019E"/>
    <w:rsid w:val="00F017C5"/>
    <w:rsid w:val="00F15D2D"/>
    <w:rsid w:val="00F26723"/>
    <w:rsid w:val="00F369D4"/>
    <w:rsid w:val="00F7341B"/>
    <w:rsid w:val="00F832A0"/>
    <w:rsid w:val="00FB01A6"/>
    <w:rsid w:val="00FB3754"/>
    <w:rsid w:val="00FD1D5A"/>
    <w:rsid w:val="00FD2E9E"/>
    <w:rsid w:val="00FE394A"/>
    <w:rsid w:val="00FE7DC3"/>
    <w:rsid w:val="00FF017D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D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74"/>
    <w:pPr>
      <w:spacing w:before="240" w:after="120" w:line="240" w:lineRule="auto"/>
      <w:outlineLvl w:val="1"/>
    </w:pPr>
    <w:rPr>
      <w:caps/>
      <w:color w:val="107686" w:themeColor="text2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394A"/>
    <w:pPr>
      <w:outlineLvl w:val="2"/>
    </w:pPr>
    <w:rPr>
      <w:b/>
      <w:caps w:val="0"/>
      <w:color w:val="E0DAA1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7D74"/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D74"/>
    <w:pPr>
      <w:spacing w:after="300" w:line="240" w:lineRule="auto"/>
      <w:contextualSpacing/>
    </w:pPr>
    <w:rPr>
      <w:rFonts w:asciiTheme="majorHAnsi" w:eastAsia="MS PGothic" w:hAnsiTheme="majorHAnsi" w:cstheme="majorBidi"/>
      <w:color w:val="5D1E08" w:themeColor="text1"/>
      <w:spacing w:val="5"/>
      <w:kern w:val="28"/>
      <w:sz w:val="64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47D74"/>
    <w:rPr>
      <w:rFonts w:asciiTheme="majorHAnsi" w:eastAsia="MS PGothic" w:hAnsiTheme="majorHAnsi" w:cstheme="majorBidi"/>
      <w:color w:val="5D1E08" w:themeColor="text1"/>
      <w:spacing w:val="5"/>
      <w:kern w:val="28"/>
      <w:sz w:val="64"/>
      <w:szCs w:val="6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47D74"/>
    <w:rPr>
      <w:rFonts w:ascii="Arial" w:hAnsi="Arial"/>
      <w:caps/>
      <w:color w:val="107686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E394A"/>
    <w:rPr>
      <w:rFonts w:ascii="Arial" w:hAnsi="Arial"/>
      <w:b/>
      <w:color w:val="E0DAA1" w:themeColor="accent1"/>
      <w:sz w:val="20"/>
    </w:rPr>
  </w:style>
  <w:style w:type="paragraph" w:customStyle="1" w:styleId="body">
    <w:name w:val="body"/>
    <w:basedOn w:val="Normal"/>
    <w:qFormat/>
    <w:rsid w:val="00693D0E"/>
    <w:pPr>
      <w:spacing w:before="120" w:after="120" w:line="288" w:lineRule="auto"/>
    </w:pPr>
  </w:style>
  <w:style w:type="paragraph" w:styleId="ListParagraph">
    <w:name w:val="List Paragraph"/>
    <w:basedOn w:val="Normal"/>
    <w:uiPriority w:val="34"/>
    <w:qFormat/>
    <w:rsid w:val="00693D0E"/>
    <w:pPr>
      <w:ind w:left="720"/>
      <w:contextualSpacing/>
    </w:pPr>
  </w:style>
  <w:style w:type="paragraph" w:customStyle="1" w:styleId="bullets">
    <w:name w:val="bullets"/>
    <w:basedOn w:val="body"/>
    <w:qFormat/>
    <w:rsid w:val="00E806A1"/>
    <w:pPr>
      <w:numPr>
        <w:numId w:val="2"/>
      </w:numPr>
    </w:pPr>
  </w:style>
  <w:style w:type="paragraph" w:customStyle="1" w:styleId="introcopy">
    <w:name w:val="intro copy"/>
    <w:basedOn w:val="Normal"/>
    <w:qFormat/>
    <w:rsid w:val="00E47D74"/>
    <w:pPr>
      <w:spacing w:after="0" w:line="360" w:lineRule="exact"/>
    </w:pPr>
    <w:rPr>
      <w:color w:val="107686" w:themeColor="text2"/>
      <w:sz w:val="30"/>
      <w:szCs w:val="32"/>
    </w:rPr>
  </w:style>
  <w:style w:type="paragraph" w:customStyle="1" w:styleId="Callouthead-white">
    <w:name w:val="Callout head-white"/>
    <w:basedOn w:val="Normal"/>
    <w:qFormat/>
    <w:rsid w:val="00C75ABF"/>
    <w:pPr>
      <w:spacing w:before="240" w:after="120" w:line="240" w:lineRule="auto"/>
    </w:pPr>
    <w:rPr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37B6"/>
    <w:rPr>
      <w:color w:val="107686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D5A"/>
    <w:rPr>
      <w:color w:val="B9B9B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D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DC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C5"/>
    <w:rPr>
      <w:rFonts w:ascii="Arial" w:hAnsi="Arial"/>
      <w:b/>
      <w:bCs/>
      <w:sz w:val="20"/>
      <w:szCs w:val="20"/>
    </w:rPr>
  </w:style>
  <w:style w:type="paragraph" w:customStyle="1" w:styleId="callout-bullets-white">
    <w:name w:val="callout-bullets-white"/>
    <w:basedOn w:val="body"/>
    <w:qFormat/>
    <w:rsid w:val="00E47D74"/>
    <w:pPr>
      <w:numPr>
        <w:numId w:val="25"/>
      </w:numPr>
      <w:ind w:left="187" w:hanging="187"/>
    </w:pPr>
    <w:rPr>
      <w:color w:val="FFFFFF" w:themeColor="background1"/>
      <w:szCs w:val="20"/>
    </w:rPr>
  </w:style>
  <w:style w:type="paragraph" w:customStyle="1" w:styleId="Default">
    <w:name w:val="Default"/>
    <w:rsid w:val="00DD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44726"/>
    <w:pPr>
      <w:spacing w:line="181" w:lineRule="atLeast"/>
    </w:pPr>
    <w:rPr>
      <w:rFonts w:ascii="EFWUW I+ Whitney" w:hAnsi="EFWUW I+ Whitney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74"/>
    <w:pPr>
      <w:spacing w:before="240" w:after="120" w:line="240" w:lineRule="auto"/>
      <w:outlineLvl w:val="1"/>
    </w:pPr>
    <w:rPr>
      <w:caps/>
      <w:color w:val="107686" w:themeColor="text2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394A"/>
    <w:pPr>
      <w:outlineLvl w:val="2"/>
    </w:pPr>
    <w:rPr>
      <w:b/>
      <w:caps w:val="0"/>
      <w:color w:val="E0DAA1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7D74"/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D74"/>
    <w:pPr>
      <w:spacing w:after="300" w:line="240" w:lineRule="auto"/>
      <w:contextualSpacing/>
    </w:pPr>
    <w:rPr>
      <w:rFonts w:asciiTheme="majorHAnsi" w:eastAsia="MS PGothic" w:hAnsiTheme="majorHAnsi" w:cstheme="majorBidi"/>
      <w:color w:val="5D1E08" w:themeColor="text1"/>
      <w:spacing w:val="5"/>
      <w:kern w:val="28"/>
      <w:sz w:val="64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47D74"/>
    <w:rPr>
      <w:rFonts w:asciiTheme="majorHAnsi" w:eastAsia="MS PGothic" w:hAnsiTheme="majorHAnsi" w:cstheme="majorBidi"/>
      <w:color w:val="5D1E08" w:themeColor="text1"/>
      <w:spacing w:val="5"/>
      <w:kern w:val="28"/>
      <w:sz w:val="64"/>
      <w:szCs w:val="6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47D74"/>
    <w:rPr>
      <w:rFonts w:ascii="Arial" w:hAnsi="Arial"/>
      <w:caps/>
      <w:color w:val="107686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E394A"/>
    <w:rPr>
      <w:rFonts w:ascii="Arial" w:hAnsi="Arial"/>
      <w:b/>
      <w:color w:val="E0DAA1" w:themeColor="accent1"/>
      <w:sz w:val="20"/>
    </w:rPr>
  </w:style>
  <w:style w:type="paragraph" w:customStyle="1" w:styleId="body">
    <w:name w:val="body"/>
    <w:basedOn w:val="Normal"/>
    <w:qFormat/>
    <w:rsid w:val="00693D0E"/>
    <w:pPr>
      <w:spacing w:before="120" w:after="120" w:line="288" w:lineRule="auto"/>
    </w:pPr>
  </w:style>
  <w:style w:type="paragraph" w:styleId="ListParagraph">
    <w:name w:val="List Paragraph"/>
    <w:basedOn w:val="Normal"/>
    <w:uiPriority w:val="34"/>
    <w:qFormat/>
    <w:rsid w:val="00693D0E"/>
    <w:pPr>
      <w:ind w:left="720"/>
      <w:contextualSpacing/>
    </w:pPr>
  </w:style>
  <w:style w:type="paragraph" w:customStyle="1" w:styleId="bullets">
    <w:name w:val="bullets"/>
    <w:basedOn w:val="body"/>
    <w:qFormat/>
    <w:rsid w:val="00E806A1"/>
    <w:pPr>
      <w:numPr>
        <w:numId w:val="2"/>
      </w:numPr>
    </w:pPr>
  </w:style>
  <w:style w:type="paragraph" w:customStyle="1" w:styleId="introcopy">
    <w:name w:val="intro copy"/>
    <w:basedOn w:val="Normal"/>
    <w:qFormat/>
    <w:rsid w:val="00E47D74"/>
    <w:pPr>
      <w:spacing w:after="0" w:line="360" w:lineRule="exact"/>
    </w:pPr>
    <w:rPr>
      <w:color w:val="107686" w:themeColor="text2"/>
      <w:sz w:val="30"/>
      <w:szCs w:val="32"/>
    </w:rPr>
  </w:style>
  <w:style w:type="paragraph" w:customStyle="1" w:styleId="Callouthead-white">
    <w:name w:val="Callout head-white"/>
    <w:basedOn w:val="Normal"/>
    <w:qFormat/>
    <w:rsid w:val="00C75ABF"/>
    <w:pPr>
      <w:spacing w:before="240" w:after="120" w:line="240" w:lineRule="auto"/>
    </w:pPr>
    <w:rPr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37B6"/>
    <w:rPr>
      <w:color w:val="107686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D5A"/>
    <w:rPr>
      <w:color w:val="B9B9B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D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DC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C5"/>
    <w:rPr>
      <w:rFonts w:ascii="Arial" w:hAnsi="Arial"/>
      <w:b/>
      <w:bCs/>
      <w:sz w:val="20"/>
      <w:szCs w:val="20"/>
    </w:rPr>
  </w:style>
  <w:style w:type="paragraph" w:customStyle="1" w:styleId="callout-bullets-white">
    <w:name w:val="callout-bullets-white"/>
    <w:basedOn w:val="body"/>
    <w:qFormat/>
    <w:rsid w:val="00E47D74"/>
    <w:pPr>
      <w:numPr>
        <w:numId w:val="25"/>
      </w:numPr>
      <w:ind w:left="187" w:hanging="187"/>
    </w:pPr>
    <w:rPr>
      <w:color w:val="FFFFFF" w:themeColor="background1"/>
      <w:szCs w:val="20"/>
    </w:rPr>
  </w:style>
  <w:style w:type="paragraph" w:customStyle="1" w:styleId="Default">
    <w:name w:val="Default"/>
    <w:rsid w:val="00DD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44726"/>
    <w:pPr>
      <w:spacing w:line="181" w:lineRule="atLeast"/>
    </w:pPr>
    <w:rPr>
      <w:rFonts w:ascii="EFWUW I+ Whitney" w:hAnsi="EFWUW I+ Whitne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p.nctreasurer.com/Medical%20Benefits/AE2016_How_to_Enroll.pdf" TargetMode="External"/><Relationship Id="rId13" Type="http://schemas.openxmlformats.org/officeDocument/2006/relationships/hyperlink" Target="https://shp.nctreasurer.com/Medical%20Benefits/AE2016_How_to_Enroll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shp.nctreasurer.com/Medical%20Benefits/AE2016_How_to_Enrol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p.nctreasurer.com/Medical%20Benefits/AE2016_How_to_Enrol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d.northcarolina.edu/hr/UNC-2016_Open_Enrollment_Highlighter.pdf" TargetMode="External"/><Relationship Id="rId10" Type="http://schemas.openxmlformats.org/officeDocument/2006/relationships/hyperlink" Target="https://shp.nctreasurer.com/ActiveEmployees/Pages/Annual-Enrollment---Active-Members-and-COBRA-Participant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p-login.hrintouch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UNC-2014">
  <a:themeElements>
    <a:clrScheme name="Custom 19">
      <a:dk1>
        <a:srgbClr val="5D1E08"/>
      </a:dk1>
      <a:lt1>
        <a:srgbClr val="FFFFFF"/>
      </a:lt1>
      <a:dk2>
        <a:srgbClr val="107686"/>
      </a:dk2>
      <a:lt2>
        <a:srgbClr val="CBC587"/>
      </a:lt2>
      <a:accent1>
        <a:srgbClr val="E0DAA1"/>
      </a:accent1>
      <a:accent2>
        <a:srgbClr val="80BCA8"/>
      </a:accent2>
      <a:accent3>
        <a:srgbClr val="D07A22"/>
      </a:accent3>
      <a:accent4>
        <a:srgbClr val="67A0AB"/>
      </a:accent4>
      <a:accent5>
        <a:srgbClr val="7D7A57"/>
      </a:accent5>
      <a:accent6>
        <a:srgbClr val="333333"/>
      </a:accent6>
      <a:hlink>
        <a:srgbClr val="0D7686"/>
      </a:hlink>
      <a:folHlink>
        <a:srgbClr val="B9B9B9"/>
      </a:folHlink>
    </a:clrScheme>
    <a:fontScheme name="Blank Presentation">
      <a:majorFont>
        <a:latin typeface="Arial"/>
        <a:ea typeface="ＭＳ Ｐゴシック"/>
        <a:cs typeface="ＭＳ Ｐゴシック"/>
      </a:majorFont>
      <a:minorFont>
        <a:latin typeface="Arial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33" charset="0"/>
            <a:ea typeface="ＭＳ Ｐゴシック" pitchFamily="33" charset="-128"/>
            <a:cs typeface="ＭＳ Ｐゴシック" pitchFamily="33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33" charset="0"/>
            <a:ea typeface="ＭＳ Ｐゴシック" pitchFamily="33" charset="-128"/>
            <a:cs typeface="ＭＳ Ｐゴシック" pitchFamily="33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54925-40A4-4FC4-B364-7317C3C2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XH3YM9N</dc:creator>
  <cp:lastModifiedBy>Brian M. Usischon</cp:lastModifiedBy>
  <cp:revision>2</cp:revision>
  <cp:lastPrinted>2015-10-08T15:28:00Z</cp:lastPrinted>
  <dcterms:created xsi:type="dcterms:W3CDTF">2015-10-22T21:09:00Z</dcterms:created>
  <dcterms:modified xsi:type="dcterms:W3CDTF">2015-10-22T21:09:00Z</dcterms:modified>
</cp:coreProperties>
</file>